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3" w:rsidRPr="003014A0" w:rsidRDefault="00801C43" w:rsidP="00F34A3A">
      <w:pPr>
        <w:tabs>
          <w:tab w:val="left" w:pos="8280"/>
        </w:tabs>
        <w:spacing w:after="240"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proofErr w:type="gramStart"/>
      <w:r w:rsidRPr="000951F9">
        <w:rPr>
          <w:rFonts w:ascii="標楷體" w:eastAsia="標楷體" w:hAnsi="標楷體" w:hint="eastAsia"/>
          <w:color w:val="000000"/>
          <w:sz w:val="36"/>
          <w:szCs w:val="36"/>
        </w:rPr>
        <w:t>臺</w:t>
      </w:r>
      <w:proofErr w:type="gramEnd"/>
      <w:r w:rsidRPr="000951F9">
        <w:rPr>
          <w:rFonts w:ascii="標楷體" w:eastAsia="標楷體" w:hAnsi="標楷體" w:hint="eastAsia"/>
          <w:color w:val="000000"/>
          <w:sz w:val="36"/>
          <w:szCs w:val="36"/>
        </w:rPr>
        <w:t>中市議會第</w:t>
      </w:r>
      <w:r w:rsidR="007A2F78">
        <w:rPr>
          <w:rFonts w:ascii="標楷體" w:eastAsia="標楷體" w:hAnsi="標楷體" w:hint="eastAsia"/>
          <w:color w:val="000000"/>
          <w:sz w:val="36"/>
          <w:szCs w:val="36"/>
        </w:rPr>
        <w:t>4</w:t>
      </w:r>
      <w:r w:rsidRPr="000951F9">
        <w:rPr>
          <w:rFonts w:ascii="標楷體" w:eastAsia="標楷體" w:hAnsi="標楷體" w:hint="eastAsia"/>
          <w:color w:val="000000"/>
          <w:sz w:val="36"/>
          <w:szCs w:val="36"/>
        </w:rPr>
        <w:t>屆</w:t>
      </w:r>
      <w:proofErr w:type="gramStart"/>
      <w:r w:rsidRPr="000951F9">
        <w:rPr>
          <w:rFonts w:ascii="標楷體" w:eastAsia="標楷體" w:hAnsi="標楷體" w:hint="eastAsia"/>
          <w:color w:val="000000"/>
          <w:sz w:val="36"/>
          <w:szCs w:val="36"/>
        </w:rPr>
        <w:t>第</w:t>
      </w:r>
      <w:r w:rsidR="00C673E5"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Pr="000951F9">
        <w:rPr>
          <w:rFonts w:ascii="標楷體" w:eastAsia="標楷體" w:hAnsi="標楷體" w:hint="eastAsia"/>
          <w:color w:val="000000"/>
          <w:sz w:val="36"/>
          <w:szCs w:val="36"/>
        </w:rPr>
        <w:t>次臨</w:t>
      </w:r>
      <w:proofErr w:type="gramEnd"/>
      <w:r w:rsidRPr="000951F9">
        <w:rPr>
          <w:rFonts w:ascii="標楷體" w:eastAsia="標楷體" w:hAnsi="標楷體" w:hint="eastAsia"/>
          <w:color w:val="000000"/>
          <w:sz w:val="36"/>
          <w:szCs w:val="36"/>
        </w:rPr>
        <w:t>時會議事日程表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2126"/>
        <w:gridCol w:w="1560"/>
        <w:gridCol w:w="5125"/>
      </w:tblGrid>
      <w:tr w:rsidR="00A56E2F" w:rsidRPr="00F34A3A" w:rsidTr="00A01FDC">
        <w:trPr>
          <w:tblHeader/>
        </w:trPr>
        <w:tc>
          <w:tcPr>
            <w:tcW w:w="993" w:type="dxa"/>
            <w:shd w:val="clear" w:color="auto" w:fill="auto"/>
            <w:vAlign w:val="center"/>
          </w:tcPr>
          <w:p w:rsidR="00DB0588" w:rsidRPr="00F34A3A" w:rsidRDefault="00DB058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B0588" w:rsidRPr="00F34A3A" w:rsidRDefault="00DB058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B0588" w:rsidRPr="00F34A3A" w:rsidRDefault="00DB058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  間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B0588" w:rsidRPr="00F34A3A" w:rsidRDefault="00DB058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會議次別</w:t>
            </w:r>
          </w:p>
        </w:tc>
        <w:tc>
          <w:tcPr>
            <w:tcW w:w="5125" w:type="dxa"/>
            <w:vMerge w:val="restart"/>
            <w:shd w:val="clear" w:color="auto" w:fill="auto"/>
            <w:vAlign w:val="center"/>
          </w:tcPr>
          <w:p w:rsidR="00DB0588" w:rsidRPr="00F34A3A" w:rsidRDefault="00DB058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議程</w:t>
            </w:r>
          </w:p>
        </w:tc>
      </w:tr>
      <w:tr w:rsidR="00A56E2F" w:rsidRPr="00F34A3A" w:rsidTr="00A01FDC">
        <w:trPr>
          <w:tblHeader/>
        </w:trPr>
        <w:tc>
          <w:tcPr>
            <w:tcW w:w="993" w:type="dxa"/>
            <w:shd w:val="clear" w:color="auto" w:fill="auto"/>
            <w:vAlign w:val="center"/>
          </w:tcPr>
          <w:p w:rsidR="00DB0588" w:rsidRPr="00F34A3A" w:rsidRDefault="00DB058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7A2F78" w:rsidRPr="00F34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F34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B0588" w:rsidRPr="00F34A3A" w:rsidRDefault="00DB058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B0588" w:rsidRPr="00F34A3A" w:rsidRDefault="00DB058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B0588" w:rsidRPr="00F34A3A" w:rsidRDefault="00DB058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25" w:type="dxa"/>
            <w:vMerge/>
            <w:shd w:val="clear" w:color="auto" w:fill="auto"/>
            <w:vAlign w:val="center"/>
          </w:tcPr>
          <w:p w:rsidR="00DB0588" w:rsidRPr="00F34A3A" w:rsidRDefault="00DB058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1768" w:rsidRPr="00F34A3A" w:rsidTr="00A01768">
        <w:trPr>
          <w:trHeight w:val="36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3/13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09：00～10：00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   到</w:t>
            </w:r>
          </w:p>
        </w:tc>
      </w:tr>
      <w:tr w:rsidR="00A01768" w:rsidRPr="00F34A3A" w:rsidTr="00A01768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10：00～17：00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第1次會議</w:t>
            </w:r>
          </w:p>
        </w:tc>
        <w:tc>
          <w:tcPr>
            <w:tcW w:w="5125" w:type="dxa"/>
            <w:shd w:val="clear" w:color="auto" w:fill="auto"/>
            <w:vAlign w:val="center"/>
          </w:tcPr>
          <w:p w:rsidR="00A01768" w:rsidRPr="00E13165" w:rsidRDefault="00A01768" w:rsidP="00F34A3A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報告議事日程。</w:t>
            </w:r>
          </w:p>
          <w:p w:rsidR="00A01768" w:rsidRPr="00E13165" w:rsidRDefault="00A01768" w:rsidP="00F34A3A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報告市政府來函暨宣讀議案交付審查。</w:t>
            </w:r>
          </w:p>
          <w:p w:rsidR="00A01768" w:rsidRPr="00E13165" w:rsidRDefault="00A01768" w:rsidP="00F34A3A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報告人民請願案。</w:t>
            </w:r>
          </w:p>
          <w:p w:rsidR="00A01768" w:rsidRPr="00E13165" w:rsidRDefault="00A01768" w:rsidP="00F34A3A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財政局、主計處報告</w:t>
            </w:r>
            <w:proofErr w:type="gramStart"/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proofErr w:type="gramEnd"/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proofErr w:type="gramStart"/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中市總預算第1</w:t>
            </w:r>
            <w:bookmarkStart w:id="0" w:name="_GoBack"/>
            <w:bookmarkEnd w:id="0"/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次追加（減）預算案編製情形。</w:t>
            </w:r>
          </w:p>
          <w:p w:rsidR="00A01768" w:rsidRPr="00E13165" w:rsidRDefault="00A01768" w:rsidP="00F34A3A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三讀議案第一讀會。</w:t>
            </w:r>
          </w:p>
          <w:p w:rsidR="00A01768" w:rsidRPr="00E13165" w:rsidRDefault="00A01768" w:rsidP="00F34A3A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三讀議案第二讀會。</w:t>
            </w:r>
          </w:p>
        </w:tc>
      </w:tr>
      <w:tr w:rsidR="00A01768" w:rsidRPr="00F34A3A" w:rsidTr="00BF1CE1">
        <w:tc>
          <w:tcPr>
            <w:tcW w:w="993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3/14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10：00～17：00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第2次會議</w:t>
            </w:r>
          </w:p>
        </w:tc>
        <w:tc>
          <w:tcPr>
            <w:tcW w:w="5125" w:type="dxa"/>
            <w:shd w:val="clear" w:color="auto" w:fill="auto"/>
            <w:vAlign w:val="center"/>
          </w:tcPr>
          <w:p w:rsidR="00A01768" w:rsidRPr="00E13165" w:rsidRDefault="00F34A3A" w:rsidP="00F34A3A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中市政府數位治理局業務概況與未來展望專案報告。</w:t>
            </w:r>
          </w:p>
          <w:p w:rsidR="00F34A3A" w:rsidRPr="00E13165" w:rsidRDefault="00F34A3A" w:rsidP="00F34A3A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1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中彰投公共運輸交通月票補助及</w:t>
            </w:r>
            <w:proofErr w:type="gramStart"/>
            <w:r w:rsidRPr="00E131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E131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中市公車近五年事故、班次誤點、脫漏班檢討專案報告。</w:t>
            </w:r>
          </w:p>
          <w:p w:rsidR="00F34A3A" w:rsidRPr="00E13165" w:rsidRDefault="00F34A3A" w:rsidP="00F34A3A">
            <w:pPr>
              <w:pStyle w:val="a8"/>
              <w:numPr>
                <w:ilvl w:val="0"/>
                <w:numId w:val="9"/>
              </w:numPr>
              <w:spacing w:line="400" w:lineRule="exact"/>
              <w:ind w:leftChars="0" w:firstLine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中市巨蛋建造預算巨幅追加52%，總經費近百億專案報告。</w:t>
            </w:r>
          </w:p>
          <w:p w:rsidR="00F34A3A" w:rsidRPr="00E13165" w:rsidRDefault="00F34A3A" w:rsidP="00F34A3A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131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E131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市軌道建設（捷運藍線綜合規劃及財務規劃檢討、綠線延伸、機場捷運、屯區捷運、山海環線）及高、快速道路建設（東豐快、國4高架延伸台中港、國1銜接台74、台74延伸龍井、台74增設匝道）推動進度專案報告。</w:t>
            </w:r>
          </w:p>
          <w:p w:rsidR="00F34A3A" w:rsidRPr="00E13165" w:rsidRDefault="00F34A3A" w:rsidP="00F34A3A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市政府針對電費漲價影響民生及內需產業在後</w:t>
            </w:r>
            <w:proofErr w:type="gramStart"/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情時代如何順利復甦因應對策專案報告。</w:t>
            </w:r>
          </w:p>
          <w:p w:rsidR="00F34A3A" w:rsidRPr="00E13165" w:rsidRDefault="00F34A3A" w:rsidP="00F34A3A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131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E131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中市人行路網、道路路口安全改善執行情形及後續推動進度與東區</w:t>
            </w:r>
            <w:proofErr w:type="spellStart"/>
            <w:r w:rsidRPr="00E131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LaLaport</w:t>
            </w:r>
            <w:proofErr w:type="spellEnd"/>
            <w:r w:rsidR="002D1F16" w:rsidRPr="00E131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E131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建國市場附近交通改善計畫專案報告</w:t>
            </w:r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01768" w:rsidRPr="00F34A3A" w:rsidTr="00F42E7A">
        <w:tc>
          <w:tcPr>
            <w:tcW w:w="993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3/15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09：00～17：00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法規委員會審查議案及其它事項</w:t>
            </w:r>
          </w:p>
        </w:tc>
      </w:tr>
      <w:tr w:rsidR="00A01768" w:rsidRPr="00F34A3A" w:rsidTr="00F42E7A">
        <w:tc>
          <w:tcPr>
            <w:tcW w:w="993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3/16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09：00～17：00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各委員會審查議案及其它事項</w:t>
            </w:r>
          </w:p>
        </w:tc>
      </w:tr>
      <w:tr w:rsidR="00A01768" w:rsidRPr="00F34A3A" w:rsidTr="00A01768">
        <w:tc>
          <w:tcPr>
            <w:tcW w:w="993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3/17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09：00～17：00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各委員會審查議案及其它事項</w:t>
            </w:r>
          </w:p>
        </w:tc>
      </w:tr>
      <w:tr w:rsidR="00A01768" w:rsidRPr="00F34A3A" w:rsidTr="00247C57">
        <w:tc>
          <w:tcPr>
            <w:tcW w:w="993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3/18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8811" w:type="dxa"/>
            <w:gridSpan w:val="3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例假日</w:t>
            </w:r>
          </w:p>
        </w:tc>
      </w:tr>
      <w:tr w:rsidR="00A01768" w:rsidRPr="00F34A3A" w:rsidTr="005C735B">
        <w:tc>
          <w:tcPr>
            <w:tcW w:w="993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3/19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8811" w:type="dxa"/>
            <w:gridSpan w:val="3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例假日</w:t>
            </w:r>
          </w:p>
        </w:tc>
      </w:tr>
      <w:tr w:rsidR="00A01768" w:rsidRPr="00F34A3A" w:rsidTr="00A01768">
        <w:tc>
          <w:tcPr>
            <w:tcW w:w="993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3/20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10：00～17：00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768" w:rsidRPr="00E13165" w:rsidRDefault="00A01768" w:rsidP="00F34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第3次會議</w:t>
            </w:r>
          </w:p>
        </w:tc>
        <w:tc>
          <w:tcPr>
            <w:tcW w:w="5125" w:type="dxa"/>
            <w:shd w:val="clear" w:color="auto" w:fill="auto"/>
            <w:vAlign w:val="center"/>
          </w:tcPr>
          <w:p w:rsidR="00A01768" w:rsidRPr="00E13165" w:rsidRDefault="00A01768" w:rsidP="00F34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三讀議案第二讀會。</w:t>
            </w:r>
          </w:p>
        </w:tc>
      </w:tr>
      <w:tr w:rsidR="00A01768" w:rsidRPr="00F34A3A" w:rsidTr="00C673E5">
        <w:tc>
          <w:tcPr>
            <w:tcW w:w="993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3/21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09：00～17：00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A01768" w:rsidRPr="00E13165" w:rsidRDefault="00A01768" w:rsidP="00F34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整理議事資料</w:t>
            </w:r>
          </w:p>
        </w:tc>
      </w:tr>
      <w:tr w:rsidR="00A01768" w:rsidRPr="00F34A3A" w:rsidTr="00BF1CE1">
        <w:tc>
          <w:tcPr>
            <w:tcW w:w="993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3/22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768" w:rsidRPr="00F34A3A" w:rsidRDefault="00A01768" w:rsidP="00F34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A3A">
              <w:rPr>
                <w:rFonts w:ascii="標楷體" w:eastAsia="標楷體" w:hAnsi="標楷體" w:hint="eastAsia"/>
                <w:sz w:val="28"/>
                <w:szCs w:val="28"/>
              </w:rPr>
              <w:t>10：00～17：00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768" w:rsidRPr="00E13165" w:rsidRDefault="00A01768" w:rsidP="00F34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第4次會議</w:t>
            </w:r>
          </w:p>
        </w:tc>
        <w:tc>
          <w:tcPr>
            <w:tcW w:w="5125" w:type="dxa"/>
            <w:shd w:val="clear" w:color="auto" w:fill="auto"/>
            <w:vAlign w:val="center"/>
          </w:tcPr>
          <w:p w:rsidR="00A01768" w:rsidRPr="00E13165" w:rsidRDefault="00A01768" w:rsidP="00F34A3A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討論市政府提案、議員提案、人民請願案。</w:t>
            </w:r>
          </w:p>
          <w:p w:rsidR="00A01768" w:rsidRPr="00E13165" w:rsidRDefault="00A01768" w:rsidP="00F34A3A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三讀議案第二、三讀會。</w:t>
            </w:r>
          </w:p>
          <w:p w:rsidR="00A01768" w:rsidRPr="00E13165" w:rsidRDefault="00A01768" w:rsidP="00F34A3A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臨時動議。</w:t>
            </w:r>
          </w:p>
          <w:p w:rsidR="00A01768" w:rsidRPr="00E13165" w:rsidRDefault="00A01768" w:rsidP="00F34A3A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165">
              <w:rPr>
                <w:rFonts w:ascii="標楷體" w:eastAsia="標楷體" w:hAnsi="標楷體" w:hint="eastAsia"/>
                <w:sz w:val="28"/>
                <w:szCs w:val="28"/>
              </w:rPr>
              <w:t>閉會。</w:t>
            </w:r>
          </w:p>
        </w:tc>
      </w:tr>
    </w:tbl>
    <w:p w:rsidR="00A70F3B" w:rsidRPr="001B1877" w:rsidRDefault="001B1877" w:rsidP="00F34A3A">
      <w:pPr>
        <w:spacing w:line="400" w:lineRule="exact"/>
        <w:ind w:left="480" w:hanging="480"/>
        <w:rPr>
          <w:rFonts w:ascii="標楷體" w:eastAsia="標楷體" w:hAnsi="標楷體"/>
          <w:sz w:val="26"/>
          <w:szCs w:val="26"/>
        </w:rPr>
      </w:pPr>
      <w:r w:rsidRPr="001B1877">
        <w:rPr>
          <w:rFonts w:ascii="標楷體" w:eastAsia="標楷體" w:hAnsi="標楷體" w:hint="eastAsia"/>
          <w:sz w:val="26"/>
          <w:szCs w:val="26"/>
        </w:rPr>
        <w:t>備註：</w:t>
      </w:r>
    </w:p>
    <w:p w:rsidR="003931D5" w:rsidRPr="0074294B" w:rsidRDefault="003931D5" w:rsidP="00F34A3A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74294B">
        <w:rPr>
          <w:rFonts w:ascii="標楷體" w:eastAsia="標楷體" w:hAnsi="標楷體" w:hint="eastAsia"/>
          <w:sz w:val="26"/>
          <w:szCs w:val="26"/>
        </w:rPr>
        <w:t>本議事日程係經本會第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74294B">
        <w:rPr>
          <w:rFonts w:ascii="標楷體" w:eastAsia="標楷體" w:hAnsi="標楷體" w:hint="eastAsia"/>
          <w:sz w:val="26"/>
          <w:szCs w:val="26"/>
        </w:rPr>
        <w:t>屆程序</w:t>
      </w:r>
      <w:r w:rsidRPr="002D3F8C">
        <w:rPr>
          <w:rFonts w:ascii="標楷體" w:eastAsia="標楷體" w:hAnsi="標楷體" w:hint="eastAsia"/>
          <w:sz w:val="26"/>
          <w:szCs w:val="26"/>
        </w:rPr>
        <w:t>委員會11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2D3F8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F95AC3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6</w:t>
      </w:r>
      <w:r w:rsidRPr="00F95AC3">
        <w:rPr>
          <w:rFonts w:ascii="標楷體" w:eastAsia="標楷體" w:hAnsi="標楷體" w:hint="eastAsia"/>
          <w:sz w:val="26"/>
          <w:szCs w:val="26"/>
        </w:rPr>
        <w:t>日第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2D3F8C">
        <w:rPr>
          <w:rFonts w:ascii="標楷體" w:eastAsia="標楷體" w:hAnsi="標楷體" w:hint="eastAsia"/>
          <w:sz w:val="26"/>
          <w:szCs w:val="26"/>
        </w:rPr>
        <w:t>次會議審定</w:t>
      </w:r>
      <w:r w:rsidRPr="0074294B">
        <w:rPr>
          <w:rFonts w:ascii="標楷體" w:eastAsia="標楷體" w:hAnsi="標楷體" w:hint="eastAsia"/>
          <w:sz w:val="26"/>
          <w:szCs w:val="26"/>
        </w:rPr>
        <w:t>。</w:t>
      </w:r>
    </w:p>
    <w:p w:rsidR="00A66B97" w:rsidRPr="00A66B97" w:rsidRDefault="00A66B97" w:rsidP="00F34A3A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A66B97">
        <w:rPr>
          <w:rFonts w:ascii="標楷體" w:eastAsia="標楷體" w:hAnsi="標楷體" w:hint="eastAsia"/>
          <w:sz w:val="26"/>
          <w:szCs w:val="26"/>
        </w:rPr>
        <w:t>議員提案應有3人以上之連署。市法規提案應有議員10人以上之連署，並於委員會審查5日前，以書面送交議事</w:t>
      </w:r>
      <w:proofErr w:type="gramStart"/>
      <w:r w:rsidRPr="00A66B97">
        <w:rPr>
          <w:rFonts w:ascii="標楷體" w:eastAsia="標楷體" w:hAnsi="標楷體" w:hint="eastAsia"/>
          <w:sz w:val="26"/>
          <w:szCs w:val="26"/>
        </w:rPr>
        <w:t>組彙辦</w:t>
      </w:r>
      <w:proofErr w:type="gramEnd"/>
      <w:r w:rsidRPr="00A66B97">
        <w:rPr>
          <w:rFonts w:ascii="標楷體" w:eastAsia="標楷體" w:hAnsi="標楷體" w:hint="eastAsia"/>
          <w:sz w:val="26"/>
          <w:szCs w:val="26"/>
        </w:rPr>
        <w:t>。</w:t>
      </w:r>
    </w:p>
    <w:p w:rsidR="0074294B" w:rsidRPr="00BE0457" w:rsidRDefault="0074294B" w:rsidP="00F34A3A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BE0457">
        <w:rPr>
          <w:rFonts w:ascii="標楷體" w:eastAsia="標楷體" w:hAnsi="標楷體" w:hint="eastAsia"/>
          <w:sz w:val="26"/>
          <w:szCs w:val="26"/>
        </w:rPr>
        <w:t>上午開會時間，大會議程自上午10時起；各委員會審查議案時程由各委員會自訂時間。</w:t>
      </w:r>
    </w:p>
    <w:p w:rsidR="001B1877" w:rsidRPr="001B1877" w:rsidRDefault="0074294B" w:rsidP="00F34A3A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74294B">
        <w:rPr>
          <w:rFonts w:ascii="標楷體" w:eastAsia="標楷體" w:hAnsi="標楷體" w:hint="eastAsia"/>
          <w:sz w:val="26"/>
          <w:szCs w:val="26"/>
        </w:rPr>
        <w:t xml:space="preserve">開會會場：議事堂→大會；各委員會會議室→各委員會審查議案。 </w:t>
      </w:r>
    </w:p>
    <w:sectPr w:rsidR="001B1877" w:rsidRPr="001B1877" w:rsidSect="00A56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64" w:rsidRDefault="00816764" w:rsidP="00801C43">
      <w:pPr>
        <w:ind w:left="480" w:hanging="480"/>
      </w:pPr>
      <w:r>
        <w:separator/>
      </w:r>
    </w:p>
  </w:endnote>
  <w:endnote w:type="continuationSeparator" w:id="0">
    <w:p w:rsidR="00816764" w:rsidRDefault="00816764" w:rsidP="00801C43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57" w:rsidRDefault="00BE0457" w:rsidP="00801C43">
    <w:pPr>
      <w:pStyle w:val="a5"/>
      <w:ind w:left="400" w:hanging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57" w:rsidRDefault="00BE0457" w:rsidP="00801C43">
    <w:pPr>
      <w:pStyle w:val="a5"/>
      <w:ind w:left="400" w:hanging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57" w:rsidRDefault="00BE0457" w:rsidP="00801C43">
    <w:pPr>
      <w:pStyle w:val="a5"/>
      <w:ind w:left="400" w:hanging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64" w:rsidRDefault="00816764" w:rsidP="00801C43">
      <w:pPr>
        <w:ind w:left="480" w:hanging="480"/>
      </w:pPr>
      <w:r>
        <w:separator/>
      </w:r>
    </w:p>
  </w:footnote>
  <w:footnote w:type="continuationSeparator" w:id="0">
    <w:p w:rsidR="00816764" w:rsidRDefault="00816764" w:rsidP="00801C43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57" w:rsidRDefault="00BE0457" w:rsidP="00801C43">
    <w:pPr>
      <w:pStyle w:val="a3"/>
      <w:ind w:left="400" w:hanging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57" w:rsidRDefault="00BE0457" w:rsidP="00801C43">
    <w:pPr>
      <w:pStyle w:val="a3"/>
      <w:ind w:left="400" w:hanging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57" w:rsidRDefault="00BE0457" w:rsidP="00801C43">
    <w:pPr>
      <w:pStyle w:val="a3"/>
      <w:ind w:left="400" w:hanging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B3C"/>
    <w:multiLevelType w:val="hybridMultilevel"/>
    <w:tmpl w:val="EB920404"/>
    <w:lvl w:ilvl="0" w:tplc="1384FB8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D39CF"/>
    <w:multiLevelType w:val="hybridMultilevel"/>
    <w:tmpl w:val="638A1FA2"/>
    <w:lvl w:ilvl="0" w:tplc="CE261816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E1162B"/>
    <w:multiLevelType w:val="hybridMultilevel"/>
    <w:tmpl w:val="3D6CCDDE"/>
    <w:lvl w:ilvl="0" w:tplc="DB12E78A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415D6C"/>
    <w:multiLevelType w:val="hybridMultilevel"/>
    <w:tmpl w:val="0D96A25A"/>
    <w:lvl w:ilvl="0" w:tplc="E11EF5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273A9C"/>
    <w:multiLevelType w:val="hybridMultilevel"/>
    <w:tmpl w:val="00B20BF0"/>
    <w:lvl w:ilvl="0" w:tplc="30D6EFB2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C018B2"/>
    <w:multiLevelType w:val="hybridMultilevel"/>
    <w:tmpl w:val="36E8A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7165D8"/>
    <w:multiLevelType w:val="hybridMultilevel"/>
    <w:tmpl w:val="7B48D55A"/>
    <w:lvl w:ilvl="0" w:tplc="CE261816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</w:rPr>
    </w:lvl>
    <w:lvl w:ilvl="1" w:tplc="E8CC5C1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0E7B6A"/>
    <w:multiLevelType w:val="hybridMultilevel"/>
    <w:tmpl w:val="1B947ABA"/>
    <w:lvl w:ilvl="0" w:tplc="42842AA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2D1813"/>
    <w:multiLevelType w:val="hybridMultilevel"/>
    <w:tmpl w:val="7B48D55A"/>
    <w:lvl w:ilvl="0" w:tplc="CE261816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</w:rPr>
    </w:lvl>
    <w:lvl w:ilvl="1" w:tplc="E8CC5C1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4B05C45"/>
    <w:multiLevelType w:val="hybridMultilevel"/>
    <w:tmpl w:val="638A1FA2"/>
    <w:lvl w:ilvl="0" w:tplc="CE261816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09"/>
    <w:rsid w:val="00086484"/>
    <w:rsid w:val="000B0F95"/>
    <w:rsid w:val="000B4241"/>
    <w:rsid w:val="000B68AC"/>
    <w:rsid w:val="000E4348"/>
    <w:rsid w:val="000E6CD7"/>
    <w:rsid w:val="00101A2E"/>
    <w:rsid w:val="00117637"/>
    <w:rsid w:val="00176E68"/>
    <w:rsid w:val="0018119A"/>
    <w:rsid w:val="001B1877"/>
    <w:rsid w:val="001D06EE"/>
    <w:rsid w:val="001E3187"/>
    <w:rsid w:val="00201401"/>
    <w:rsid w:val="00247C57"/>
    <w:rsid w:val="002D1F16"/>
    <w:rsid w:val="002D3F8C"/>
    <w:rsid w:val="00303EA7"/>
    <w:rsid w:val="003236F1"/>
    <w:rsid w:val="00356A7A"/>
    <w:rsid w:val="003931D5"/>
    <w:rsid w:val="003D4628"/>
    <w:rsid w:val="00442678"/>
    <w:rsid w:val="00493370"/>
    <w:rsid w:val="004A1CEC"/>
    <w:rsid w:val="00500F97"/>
    <w:rsid w:val="005279F4"/>
    <w:rsid w:val="00543DB3"/>
    <w:rsid w:val="00572424"/>
    <w:rsid w:val="005971DA"/>
    <w:rsid w:val="005C4E48"/>
    <w:rsid w:val="005C52FA"/>
    <w:rsid w:val="005C735B"/>
    <w:rsid w:val="00616B52"/>
    <w:rsid w:val="00627EC4"/>
    <w:rsid w:val="00656636"/>
    <w:rsid w:val="00697904"/>
    <w:rsid w:val="006A7E77"/>
    <w:rsid w:val="0074294B"/>
    <w:rsid w:val="00792859"/>
    <w:rsid w:val="007A2F78"/>
    <w:rsid w:val="007A62A7"/>
    <w:rsid w:val="007B6E7F"/>
    <w:rsid w:val="007D4E9A"/>
    <w:rsid w:val="007D5A01"/>
    <w:rsid w:val="00800BBC"/>
    <w:rsid w:val="00801C43"/>
    <w:rsid w:val="00816764"/>
    <w:rsid w:val="00883F29"/>
    <w:rsid w:val="0088548C"/>
    <w:rsid w:val="008A5AF4"/>
    <w:rsid w:val="008B7412"/>
    <w:rsid w:val="008F3977"/>
    <w:rsid w:val="00917631"/>
    <w:rsid w:val="0094382A"/>
    <w:rsid w:val="00974BE6"/>
    <w:rsid w:val="009910EF"/>
    <w:rsid w:val="009C7D13"/>
    <w:rsid w:val="00A01768"/>
    <w:rsid w:val="00A01FDC"/>
    <w:rsid w:val="00A13932"/>
    <w:rsid w:val="00A2722C"/>
    <w:rsid w:val="00A33E04"/>
    <w:rsid w:val="00A56E2F"/>
    <w:rsid w:val="00A66B97"/>
    <w:rsid w:val="00A70F3B"/>
    <w:rsid w:val="00AA5EF0"/>
    <w:rsid w:val="00B46C51"/>
    <w:rsid w:val="00B6446A"/>
    <w:rsid w:val="00B65AED"/>
    <w:rsid w:val="00B965E6"/>
    <w:rsid w:val="00BE0457"/>
    <w:rsid w:val="00BF1CE1"/>
    <w:rsid w:val="00C673E5"/>
    <w:rsid w:val="00C96834"/>
    <w:rsid w:val="00CA7BA2"/>
    <w:rsid w:val="00D1040E"/>
    <w:rsid w:val="00D241BD"/>
    <w:rsid w:val="00D733FB"/>
    <w:rsid w:val="00DB0588"/>
    <w:rsid w:val="00DD3695"/>
    <w:rsid w:val="00E13165"/>
    <w:rsid w:val="00E72B09"/>
    <w:rsid w:val="00EA2311"/>
    <w:rsid w:val="00F00957"/>
    <w:rsid w:val="00F147B1"/>
    <w:rsid w:val="00F34A3A"/>
    <w:rsid w:val="00F42E7A"/>
    <w:rsid w:val="00F86357"/>
    <w:rsid w:val="00F95AC3"/>
    <w:rsid w:val="00FC5FBE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01C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01C43"/>
    <w:rPr>
      <w:sz w:val="20"/>
      <w:szCs w:val="20"/>
    </w:rPr>
  </w:style>
  <w:style w:type="table" w:styleId="a7">
    <w:name w:val="Table Grid"/>
    <w:basedOn w:val="a1"/>
    <w:uiPriority w:val="59"/>
    <w:rsid w:val="00DB0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4A3A"/>
    <w:pPr>
      <w:widowControl/>
      <w:ind w:leftChars="200" w:left="480" w:hangingChars="200" w:hanging="641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0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1F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01C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01C43"/>
    <w:rPr>
      <w:sz w:val="20"/>
      <w:szCs w:val="20"/>
    </w:rPr>
  </w:style>
  <w:style w:type="table" w:styleId="a7">
    <w:name w:val="Table Grid"/>
    <w:basedOn w:val="a1"/>
    <w:uiPriority w:val="59"/>
    <w:rsid w:val="00DB0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4A3A"/>
    <w:pPr>
      <w:widowControl/>
      <w:ind w:leftChars="200" w:left="480" w:hangingChars="200" w:hanging="641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0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1F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2023-03-07T01:48:00Z</cp:lastPrinted>
  <dcterms:created xsi:type="dcterms:W3CDTF">2023-03-07T01:09:00Z</dcterms:created>
  <dcterms:modified xsi:type="dcterms:W3CDTF">2023-03-07T01:48:00Z</dcterms:modified>
</cp:coreProperties>
</file>